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E3" w:rsidRPr="00E62452" w:rsidRDefault="00E62452">
      <w:pPr>
        <w:rPr>
          <w:sz w:val="28"/>
        </w:rPr>
      </w:pPr>
      <w:r w:rsidRPr="00E62452">
        <w:rPr>
          <w:noProof/>
          <w:sz w:val="28"/>
          <w:lang w:eastAsia="en-CA"/>
        </w:rPr>
        <w:drawing>
          <wp:anchor distT="0" distB="0" distL="114300" distR="114300" simplePos="0" relativeHeight="251667456" behindDoc="0" locked="0" layoutInCell="1" allowOverlap="1">
            <wp:simplePos x="0" y="0"/>
            <wp:positionH relativeFrom="margin">
              <wp:align>left</wp:align>
            </wp:positionH>
            <wp:positionV relativeFrom="paragraph">
              <wp:posOffset>1981200</wp:posOffset>
            </wp:positionV>
            <wp:extent cx="3523672" cy="400685"/>
            <wp:effectExtent l="0" t="0" r="635" b="0"/>
            <wp:wrapNone/>
            <wp:docPr id="2" name="Picture 2" descr="C:\Users\aaron.johnston\AppData\Local\Temp\b9117a25-987b-46b7-bfa8-cf836f3392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johnston\AppData\Local\Temp\b9117a25-987b-46b7-bfa8-cf836f3392f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672"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452">
        <w:rPr>
          <w:noProof/>
          <w:sz w:val="24"/>
          <w:lang w:eastAsia="en-CA"/>
        </w:rPr>
        <w:drawing>
          <wp:anchor distT="0" distB="0" distL="114300" distR="114300" simplePos="0" relativeHeight="251666432" behindDoc="0" locked="0" layoutInCell="1" allowOverlap="1">
            <wp:simplePos x="0" y="0"/>
            <wp:positionH relativeFrom="margin">
              <wp:posOffset>3291840</wp:posOffset>
            </wp:positionH>
            <wp:positionV relativeFrom="paragraph">
              <wp:posOffset>487680</wp:posOffset>
            </wp:positionV>
            <wp:extent cx="3314700" cy="4356100"/>
            <wp:effectExtent l="0" t="0" r="0" b="6350"/>
            <wp:wrapSquare wrapText="bothSides"/>
            <wp:docPr id="1" name="Picture 1" descr="C:\Users\aaron.johnston\AppData\Local\Temp\c78403bd-b2d0-4a01-bf30-7cf6796cae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ohnston\AppData\Local\Temp\c78403bd-b2d0-4a01-bf30-7cf6796caeb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35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B71" w:rsidRPr="00E62452">
        <w:rPr>
          <w:b/>
          <w:sz w:val="24"/>
        </w:rPr>
        <w:t>4. WORLD WARS</w:t>
      </w:r>
      <w:r w:rsidR="007B6B71" w:rsidRPr="00E62452">
        <w:rPr>
          <w:sz w:val="24"/>
        </w:rPr>
        <w:t xml:space="preserve"> </w:t>
      </w:r>
      <w:r w:rsidR="007B6B71" w:rsidRPr="00E62452">
        <w:rPr>
          <w:sz w:val="24"/>
        </w:rPr>
        <w:t xml:space="preserve"> </w:t>
      </w:r>
      <w:r w:rsidR="007B6B71" w:rsidRPr="00E62452">
        <w:rPr>
          <w:sz w:val="24"/>
        </w:rPr>
        <w:t>Many countries in the world were involved in the First World War and the Second World War. Both wars had a huge impact on the world, including on Canada and all the people living here. Both were “total wars” for Canada. This meant that most aspects of Canada’s economy and society were involved in the war effort in some way. The World Wars were important for Canada. T</w:t>
      </w:r>
      <w:bookmarkStart w:id="0" w:name="_GoBack"/>
      <w:bookmarkEnd w:id="0"/>
      <w:r w:rsidR="007B6B71" w:rsidRPr="00E62452">
        <w:rPr>
          <w:sz w:val="24"/>
        </w:rPr>
        <w:t>hey helped build a sense of national identity among Canadians. The result was that Canada demanded more independence from Britain.</w:t>
      </w:r>
    </w:p>
    <w:p w:rsidR="00025AE3" w:rsidRPr="00E62452" w:rsidRDefault="00025AE3">
      <w:pPr>
        <w:rPr>
          <w:sz w:val="28"/>
        </w:rPr>
      </w:pPr>
    </w:p>
    <w:p w:rsidR="00E62452" w:rsidRPr="00E62452" w:rsidRDefault="007B6B71">
      <w:pPr>
        <w:rPr>
          <w:color w:val="FF0000"/>
          <w:sz w:val="24"/>
          <w:u w:val="single"/>
        </w:rPr>
      </w:pPr>
      <w:r w:rsidRPr="00E62452">
        <w:rPr>
          <w:b/>
          <w:sz w:val="24"/>
          <w:u w:val="single"/>
        </w:rPr>
        <w:t xml:space="preserve">ACTIVITY 10: </w:t>
      </w:r>
      <w:r w:rsidRPr="00E62452">
        <w:rPr>
          <w:b/>
          <w:color w:val="FF0000"/>
          <w:sz w:val="24"/>
          <w:u w:val="single"/>
        </w:rPr>
        <w:t>THE FIRST WORLD WAR</w:t>
      </w:r>
      <w:r w:rsidRPr="00E62452">
        <w:rPr>
          <w:color w:val="FF0000"/>
          <w:sz w:val="24"/>
          <w:u w:val="single"/>
        </w:rPr>
        <w:t xml:space="preserve"> </w:t>
      </w:r>
    </w:p>
    <w:p w:rsidR="00E62452" w:rsidRPr="00BE583B" w:rsidRDefault="007B6B71">
      <w:r w:rsidRPr="00BE583B">
        <w:t xml:space="preserve">This activity uses the First World War Graphic Organizer, available </w:t>
      </w:r>
      <w:r w:rsidR="00E62452" w:rsidRPr="00BE583B">
        <w:t>at the end of this document</w:t>
      </w:r>
      <w:r w:rsidRPr="00BE583B">
        <w:t xml:space="preserve">. The First World War (1914–1918) was a long and bloody conflict with terrible consequences for every country involved. About 60,000 Canadians died and 170,000 were wounded. As part of the British Empire, Canada fought on the same side as Britain and made a significant contribution to the war effort. Following the war, Canada’s leaders decided that it was time for Canada to have greater decision-making powers. </w:t>
      </w:r>
    </w:p>
    <w:p w:rsidR="00E62452" w:rsidRPr="00BE583B" w:rsidRDefault="007B6B71">
      <w:r w:rsidRPr="00BE583B">
        <w:t xml:space="preserve">Millions of Canadians supported the soldiers overseas, raising money for their families, working in factories that made weapons, and farming the fields to provide food for the armies. Canada’s experiences during the First World War involve multiple stories and points of view. In this activity, you will examine some of the diverse experiences of Canadians during the First World War. </w:t>
      </w:r>
    </w:p>
    <w:p w:rsidR="00E62452" w:rsidRPr="00BE583B" w:rsidRDefault="007B6B71">
      <w:r w:rsidRPr="00BE583B">
        <w:t xml:space="preserve">The First World War was significant to Canadians for many reasons. Using the article sections listed below from The Canadian Encyclopedia, read about each topic to better understand how changes during this time were significant to Canada and how soldiers experienced the war abroad. </w:t>
      </w:r>
    </w:p>
    <w:p w:rsidR="00E62452" w:rsidRPr="00E62452" w:rsidRDefault="007B6B71" w:rsidP="00E62452">
      <w:pPr>
        <w:pStyle w:val="ListParagraph"/>
        <w:numPr>
          <w:ilvl w:val="0"/>
          <w:numId w:val="6"/>
        </w:numPr>
        <w:rPr>
          <w:sz w:val="24"/>
        </w:rPr>
      </w:pPr>
      <w:r w:rsidRPr="00E62452">
        <w:rPr>
          <w:sz w:val="24"/>
        </w:rPr>
        <w:t>Read these sec</w:t>
      </w:r>
      <w:r w:rsidR="00E62452" w:rsidRPr="00E62452">
        <w:rPr>
          <w:sz w:val="24"/>
        </w:rPr>
        <w:t>tions of the following articles</w:t>
      </w:r>
      <w:r w:rsidR="00BE583B">
        <w:rPr>
          <w:sz w:val="24"/>
        </w:rPr>
        <w:t xml:space="preserve"> and complete the graphic organizer as explained in #2, below. My suggestion is, do these readings one at a time in half-hour sittings. Doing them all at once will take too long</w:t>
      </w:r>
      <w:r w:rsidR="00E62452" w:rsidRPr="00E62452">
        <w:rPr>
          <w:sz w:val="24"/>
        </w:rPr>
        <w:t>:</w:t>
      </w:r>
      <w:r w:rsidRPr="00E62452">
        <w:rPr>
          <w:sz w:val="24"/>
        </w:rPr>
        <w:t xml:space="preserve"> </w:t>
      </w:r>
    </w:p>
    <w:p w:rsidR="00E62452" w:rsidRDefault="007B6B71" w:rsidP="00E62452">
      <w:pPr>
        <w:pStyle w:val="ListParagraph"/>
        <w:rPr>
          <w:sz w:val="24"/>
        </w:rPr>
      </w:pPr>
      <w:r w:rsidRPr="00E62452">
        <w:rPr>
          <w:sz w:val="24"/>
        </w:rPr>
        <w:t>• Canadian involvement: See the “</w:t>
      </w:r>
      <w:r w:rsidR="00BE583B">
        <w:rPr>
          <w:sz w:val="24"/>
        </w:rPr>
        <w:t>Going to War</w:t>
      </w:r>
      <w:r w:rsidRPr="00E62452">
        <w:rPr>
          <w:sz w:val="24"/>
        </w:rPr>
        <w:t xml:space="preserve">” section of the </w:t>
      </w:r>
      <w:hyperlink r:id="rId9" w:history="1">
        <w:r w:rsidRPr="00BE583B">
          <w:rPr>
            <w:rStyle w:val="Hyperlink"/>
            <w:sz w:val="24"/>
          </w:rPr>
          <w:t>First World War</w:t>
        </w:r>
      </w:hyperlink>
      <w:r w:rsidRPr="00E62452">
        <w:rPr>
          <w:sz w:val="24"/>
        </w:rPr>
        <w:t xml:space="preserve"> article. </w:t>
      </w:r>
    </w:p>
    <w:p w:rsidR="00E62452" w:rsidRDefault="007B6B71" w:rsidP="00E62452">
      <w:pPr>
        <w:pStyle w:val="ListParagraph"/>
        <w:rPr>
          <w:sz w:val="24"/>
        </w:rPr>
      </w:pPr>
      <w:r w:rsidRPr="00E62452">
        <w:rPr>
          <w:sz w:val="24"/>
        </w:rPr>
        <w:t xml:space="preserve">• The Economy: See the “War and the Economy” section of the </w:t>
      </w:r>
      <w:hyperlink r:id="rId10" w:history="1">
        <w:r w:rsidRPr="00BE583B">
          <w:rPr>
            <w:rStyle w:val="Hyperlink"/>
            <w:sz w:val="24"/>
          </w:rPr>
          <w:t>First World War</w:t>
        </w:r>
      </w:hyperlink>
      <w:r w:rsidRPr="00E62452">
        <w:rPr>
          <w:sz w:val="24"/>
        </w:rPr>
        <w:t xml:space="preserve"> article. </w:t>
      </w:r>
    </w:p>
    <w:p w:rsidR="00E62452" w:rsidRDefault="007B6B71" w:rsidP="00E62452">
      <w:pPr>
        <w:pStyle w:val="ListParagraph"/>
        <w:rPr>
          <w:sz w:val="24"/>
        </w:rPr>
      </w:pPr>
      <w:r w:rsidRPr="00E62452">
        <w:rPr>
          <w:sz w:val="24"/>
        </w:rPr>
        <w:t xml:space="preserve">• Trench Warfare: See the “Battlefield Conditions” section of the </w:t>
      </w:r>
      <w:hyperlink r:id="rId11" w:history="1">
        <w:r w:rsidRPr="00BE583B">
          <w:rPr>
            <w:rStyle w:val="Hyperlink"/>
            <w:sz w:val="24"/>
          </w:rPr>
          <w:t>Canada and the Battle of Passchendaele</w:t>
        </w:r>
      </w:hyperlink>
      <w:r w:rsidRPr="00E62452">
        <w:rPr>
          <w:sz w:val="24"/>
        </w:rPr>
        <w:t xml:space="preserve"> article. </w:t>
      </w:r>
    </w:p>
    <w:p w:rsidR="00E62452" w:rsidRDefault="007B6B71" w:rsidP="00E62452">
      <w:pPr>
        <w:pStyle w:val="ListParagraph"/>
        <w:rPr>
          <w:sz w:val="24"/>
        </w:rPr>
      </w:pPr>
      <w:r w:rsidRPr="00E62452">
        <w:rPr>
          <w:sz w:val="24"/>
        </w:rPr>
        <w:t xml:space="preserve">• Conscription: See the “Borden and Conscription” section of the </w:t>
      </w:r>
      <w:hyperlink r:id="rId12" w:history="1">
        <w:r w:rsidRPr="00BE583B">
          <w:rPr>
            <w:rStyle w:val="Hyperlink"/>
            <w:sz w:val="24"/>
          </w:rPr>
          <w:t>First World War</w:t>
        </w:r>
      </w:hyperlink>
      <w:r w:rsidRPr="00E62452">
        <w:rPr>
          <w:sz w:val="24"/>
        </w:rPr>
        <w:t xml:space="preserve"> article. </w:t>
      </w:r>
    </w:p>
    <w:p w:rsidR="00E62452" w:rsidRDefault="007B6B71" w:rsidP="00E62452">
      <w:pPr>
        <w:pStyle w:val="ListParagraph"/>
        <w:rPr>
          <w:sz w:val="24"/>
        </w:rPr>
      </w:pPr>
      <w:r w:rsidRPr="00E62452">
        <w:rPr>
          <w:sz w:val="24"/>
        </w:rPr>
        <w:lastRenderedPageBreak/>
        <w:t xml:space="preserve">• Voting Rights: See the “Achieving the Vote in Federal Elections” section of the </w:t>
      </w:r>
      <w:hyperlink r:id="rId13" w:history="1">
        <w:r w:rsidRPr="00BE583B">
          <w:rPr>
            <w:rStyle w:val="Hyperlink"/>
            <w:sz w:val="24"/>
          </w:rPr>
          <w:t>Women’s Suffrage in Canada</w:t>
        </w:r>
      </w:hyperlink>
      <w:r w:rsidRPr="00E62452">
        <w:rPr>
          <w:sz w:val="24"/>
        </w:rPr>
        <w:t xml:space="preserve"> article. </w:t>
      </w:r>
    </w:p>
    <w:p w:rsidR="00E62452" w:rsidRDefault="007B6B71" w:rsidP="00E62452">
      <w:pPr>
        <w:pStyle w:val="ListParagraph"/>
        <w:rPr>
          <w:sz w:val="24"/>
        </w:rPr>
      </w:pPr>
      <w:r w:rsidRPr="00E62452">
        <w:rPr>
          <w:sz w:val="24"/>
        </w:rPr>
        <w:t xml:space="preserve">• Internment: See the “First World War” section of the </w:t>
      </w:r>
      <w:hyperlink r:id="rId14" w:history="1">
        <w:r w:rsidRPr="00BE583B">
          <w:rPr>
            <w:rStyle w:val="Hyperlink"/>
            <w:sz w:val="24"/>
          </w:rPr>
          <w:t>Internment in Canada</w:t>
        </w:r>
      </w:hyperlink>
      <w:r w:rsidRPr="00E62452">
        <w:rPr>
          <w:sz w:val="24"/>
        </w:rPr>
        <w:t xml:space="preserve"> article. </w:t>
      </w:r>
    </w:p>
    <w:p w:rsidR="00E62452" w:rsidRDefault="00E62452" w:rsidP="00E62452">
      <w:pPr>
        <w:pStyle w:val="ListParagraph"/>
        <w:rPr>
          <w:sz w:val="24"/>
        </w:rPr>
      </w:pPr>
    </w:p>
    <w:p w:rsidR="00E62452" w:rsidRDefault="007B6B71" w:rsidP="00E62452">
      <w:pPr>
        <w:pStyle w:val="ListParagraph"/>
        <w:rPr>
          <w:sz w:val="24"/>
        </w:rPr>
      </w:pPr>
      <w:r w:rsidRPr="00E62452">
        <w:rPr>
          <w:sz w:val="24"/>
        </w:rPr>
        <w:t>2.Use the First World War Graphic Organizer to organize your answ</w:t>
      </w:r>
      <w:r w:rsidR="00E62452">
        <w:rPr>
          <w:sz w:val="24"/>
        </w:rPr>
        <w:t>ers to the following questions (there is a short example given in the Graphic organizer to get you started)</w:t>
      </w:r>
    </w:p>
    <w:p w:rsidR="00E62452" w:rsidRDefault="007B6B71" w:rsidP="00E62452">
      <w:pPr>
        <w:pStyle w:val="ListParagraph"/>
        <w:rPr>
          <w:sz w:val="24"/>
        </w:rPr>
      </w:pPr>
      <w:r w:rsidRPr="00E62452">
        <w:rPr>
          <w:sz w:val="24"/>
        </w:rPr>
        <w:t xml:space="preserve">• What is it (a short definition of the topic)? </w:t>
      </w:r>
    </w:p>
    <w:p w:rsidR="00E62452" w:rsidRDefault="007B6B71" w:rsidP="00E62452">
      <w:pPr>
        <w:pStyle w:val="ListParagraph"/>
        <w:rPr>
          <w:sz w:val="24"/>
        </w:rPr>
      </w:pPr>
      <w:r w:rsidRPr="00E62452">
        <w:rPr>
          <w:sz w:val="24"/>
        </w:rPr>
        <w:t xml:space="preserve">• What was it like? And/or how did it change? </w:t>
      </w:r>
    </w:p>
    <w:p w:rsidR="00E62452" w:rsidRDefault="007B6B71" w:rsidP="00E62452">
      <w:pPr>
        <w:pStyle w:val="ListParagraph"/>
        <w:rPr>
          <w:sz w:val="24"/>
        </w:rPr>
      </w:pPr>
      <w:r w:rsidRPr="00E62452">
        <w:rPr>
          <w:sz w:val="24"/>
        </w:rPr>
        <w:t>• What are three or four key facts or events (in point form)?</w:t>
      </w:r>
      <w:r w:rsidR="001E53D9" w:rsidRPr="00E62452">
        <w:rPr>
          <w:sz w:val="24"/>
        </w:rPr>
        <w:br w:type="page"/>
      </w:r>
    </w:p>
    <w:p w:rsidR="00E62452" w:rsidRDefault="00E62452" w:rsidP="00E62452">
      <w:pPr>
        <w:pStyle w:val="ListParagraph"/>
        <w:rPr>
          <w:sz w:val="24"/>
        </w:rPr>
      </w:pPr>
      <w:r w:rsidRPr="00E62452">
        <w:rPr>
          <w:noProof/>
          <w:sz w:val="24"/>
          <w:lang w:eastAsia="en-CA"/>
        </w:rPr>
        <w:lastRenderedPageBreak/>
        <w:drawing>
          <wp:anchor distT="0" distB="0" distL="114300" distR="114300" simplePos="0" relativeHeight="251668480" behindDoc="1" locked="0" layoutInCell="1" allowOverlap="1">
            <wp:simplePos x="0" y="0"/>
            <wp:positionH relativeFrom="page">
              <wp:align>right</wp:align>
            </wp:positionH>
            <wp:positionV relativeFrom="paragraph">
              <wp:posOffset>0</wp:posOffset>
            </wp:positionV>
            <wp:extent cx="7564755" cy="1419225"/>
            <wp:effectExtent l="0" t="0" r="0" b="9525"/>
            <wp:wrapTight wrapText="bothSides">
              <wp:wrapPolygon edited="0">
                <wp:start x="0" y="0"/>
                <wp:lineTo x="0" y="21455"/>
                <wp:lineTo x="21540" y="21455"/>
                <wp:lineTo x="21540" y="0"/>
                <wp:lineTo x="0" y="0"/>
              </wp:wrapPolygon>
            </wp:wrapTight>
            <wp:docPr id="3" name="Picture 3" descr="C:\Users\aaron.johnston\AppData\Local\Temp\1b339b08-b353-4ea3-a115-321bf21d79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johnston\AppData\Local\Temp\1b339b08-b353-4ea3-a115-321bf21d79b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475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348" w:type="dxa"/>
        <w:tblInd w:w="-714" w:type="dxa"/>
        <w:tblLook w:val="04A0" w:firstRow="1" w:lastRow="0" w:firstColumn="1" w:lastColumn="0" w:noHBand="0" w:noVBand="1"/>
      </w:tblPr>
      <w:tblGrid>
        <w:gridCol w:w="2269"/>
        <w:gridCol w:w="2693"/>
        <w:gridCol w:w="2693"/>
        <w:gridCol w:w="2693"/>
      </w:tblGrid>
      <w:tr w:rsidR="00E62452" w:rsidRPr="006D6BE3" w:rsidTr="006D6BE3">
        <w:tc>
          <w:tcPr>
            <w:tcW w:w="2269" w:type="dxa"/>
            <w:shd w:val="clear" w:color="auto" w:fill="BFBFBF" w:themeFill="background1" w:themeFillShade="BF"/>
          </w:tcPr>
          <w:p w:rsidR="00E62452" w:rsidRPr="006D6BE3" w:rsidRDefault="00E62452" w:rsidP="00E62452">
            <w:pPr>
              <w:pStyle w:val="ListParagraph"/>
              <w:ind w:left="0"/>
              <w:rPr>
                <w:b/>
                <w:sz w:val="24"/>
              </w:rPr>
            </w:pPr>
            <w:r w:rsidRPr="006D6BE3">
              <w:rPr>
                <w:b/>
                <w:sz w:val="24"/>
              </w:rPr>
              <w:t>Topic</w:t>
            </w:r>
          </w:p>
        </w:tc>
        <w:tc>
          <w:tcPr>
            <w:tcW w:w="2693" w:type="dxa"/>
            <w:shd w:val="clear" w:color="auto" w:fill="BFBFBF" w:themeFill="background1" w:themeFillShade="BF"/>
          </w:tcPr>
          <w:p w:rsidR="00E62452" w:rsidRPr="006D6BE3" w:rsidRDefault="00E62452" w:rsidP="00E62452">
            <w:pPr>
              <w:pStyle w:val="ListParagraph"/>
              <w:ind w:left="0"/>
              <w:rPr>
                <w:b/>
                <w:sz w:val="24"/>
              </w:rPr>
            </w:pPr>
            <w:r w:rsidRPr="006D6BE3">
              <w:rPr>
                <w:b/>
                <w:sz w:val="24"/>
              </w:rPr>
              <w:t>What is it?</w:t>
            </w:r>
          </w:p>
        </w:tc>
        <w:tc>
          <w:tcPr>
            <w:tcW w:w="2693" w:type="dxa"/>
            <w:shd w:val="clear" w:color="auto" w:fill="BFBFBF" w:themeFill="background1" w:themeFillShade="BF"/>
          </w:tcPr>
          <w:p w:rsidR="00E62452" w:rsidRPr="006D6BE3" w:rsidRDefault="00E62452" w:rsidP="00E62452">
            <w:pPr>
              <w:pStyle w:val="ListParagraph"/>
              <w:ind w:left="0"/>
              <w:rPr>
                <w:b/>
                <w:sz w:val="24"/>
              </w:rPr>
            </w:pPr>
            <w:r w:rsidRPr="006D6BE3">
              <w:rPr>
                <w:b/>
                <w:sz w:val="24"/>
              </w:rPr>
              <w:t>What was it like? How did it change?</w:t>
            </w:r>
          </w:p>
        </w:tc>
        <w:tc>
          <w:tcPr>
            <w:tcW w:w="2693" w:type="dxa"/>
            <w:shd w:val="clear" w:color="auto" w:fill="BFBFBF" w:themeFill="background1" w:themeFillShade="BF"/>
          </w:tcPr>
          <w:p w:rsidR="00E62452" w:rsidRPr="006D6BE3" w:rsidRDefault="00E62452" w:rsidP="00E62452">
            <w:pPr>
              <w:pStyle w:val="ListParagraph"/>
              <w:ind w:left="0"/>
              <w:rPr>
                <w:b/>
                <w:sz w:val="24"/>
              </w:rPr>
            </w:pPr>
            <w:r w:rsidRPr="006D6BE3">
              <w:rPr>
                <w:b/>
                <w:sz w:val="24"/>
              </w:rPr>
              <w:t>3-4 key facts or moments</w:t>
            </w:r>
          </w:p>
        </w:tc>
      </w:tr>
      <w:tr w:rsidR="00E62452" w:rsidTr="006D6BE3">
        <w:tc>
          <w:tcPr>
            <w:tcW w:w="2269" w:type="dxa"/>
          </w:tcPr>
          <w:p w:rsidR="00E62452" w:rsidRPr="006D6BE3" w:rsidRDefault="00E62452" w:rsidP="006D6BE3">
            <w:pPr>
              <w:pStyle w:val="ListParagraph"/>
              <w:ind w:left="0"/>
              <w:rPr>
                <w:i/>
                <w:sz w:val="20"/>
                <w:szCs w:val="20"/>
              </w:rPr>
            </w:pPr>
            <w:r w:rsidRPr="006D6BE3">
              <w:rPr>
                <w:i/>
                <w:sz w:val="20"/>
                <w:szCs w:val="20"/>
              </w:rPr>
              <w:t>Example: Commemoration of the First World War</w:t>
            </w:r>
          </w:p>
        </w:tc>
        <w:tc>
          <w:tcPr>
            <w:tcW w:w="2693" w:type="dxa"/>
          </w:tcPr>
          <w:p w:rsidR="00E62452" w:rsidRPr="006D6BE3" w:rsidRDefault="00E62452" w:rsidP="006D6BE3">
            <w:pPr>
              <w:pStyle w:val="ListParagraph"/>
              <w:ind w:left="0"/>
              <w:rPr>
                <w:i/>
                <w:sz w:val="20"/>
                <w:szCs w:val="20"/>
              </w:rPr>
            </w:pPr>
            <w:r w:rsidRPr="006D6BE3">
              <w:rPr>
                <w:i/>
                <w:sz w:val="20"/>
                <w:szCs w:val="20"/>
              </w:rPr>
              <w:t>-Many Canadians lost their lives in the First World War. After the war and up to today, Canada commemorates those who fought and died during the war.</w:t>
            </w:r>
          </w:p>
        </w:tc>
        <w:tc>
          <w:tcPr>
            <w:tcW w:w="2693" w:type="dxa"/>
          </w:tcPr>
          <w:p w:rsidR="00E62452" w:rsidRPr="006D6BE3" w:rsidRDefault="00E62452" w:rsidP="006D6BE3">
            <w:pPr>
              <w:pStyle w:val="ListParagraph"/>
              <w:ind w:left="0"/>
              <w:rPr>
                <w:i/>
                <w:sz w:val="20"/>
                <w:szCs w:val="20"/>
              </w:rPr>
            </w:pPr>
            <w:r w:rsidRPr="006D6BE3">
              <w:rPr>
                <w:i/>
                <w:sz w:val="20"/>
                <w:szCs w:val="20"/>
              </w:rPr>
              <w:t>-During the First World War, Canada sent photographers and artists to document the war.</w:t>
            </w:r>
          </w:p>
          <w:p w:rsidR="00E62452" w:rsidRPr="006D6BE3" w:rsidRDefault="00E62452" w:rsidP="006D6BE3">
            <w:pPr>
              <w:pStyle w:val="ListParagraph"/>
              <w:ind w:left="0"/>
              <w:rPr>
                <w:i/>
                <w:sz w:val="20"/>
                <w:szCs w:val="20"/>
              </w:rPr>
            </w:pPr>
            <w:r w:rsidRPr="006D6BE3">
              <w:rPr>
                <w:i/>
                <w:sz w:val="20"/>
                <w:szCs w:val="20"/>
              </w:rPr>
              <w:t>-In 1919, Canada established Armistice Day to remember the war.</w:t>
            </w:r>
          </w:p>
          <w:p w:rsidR="00E62452" w:rsidRPr="006D6BE3" w:rsidRDefault="00E62452" w:rsidP="006D6BE3">
            <w:pPr>
              <w:pStyle w:val="ListParagraph"/>
              <w:ind w:left="0"/>
              <w:rPr>
                <w:i/>
                <w:sz w:val="20"/>
                <w:szCs w:val="20"/>
              </w:rPr>
            </w:pPr>
            <w:r w:rsidRPr="006D6BE3">
              <w:rPr>
                <w:i/>
                <w:sz w:val="20"/>
                <w:szCs w:val="20"/>
              </w:rPr>
              <w:t>-The Canadian Government build monuments commemorate the war.</w:t>
            </w:r>
          </w:p>
        </w:tc>
        <w:tc>
          <w:tcPr>
            <w:tcW w:w="2693" w:type="dxa"/>
          </w:tcPr>
          <w:p w:rsidR="006D6BE3" w:rsidRDefault="00E62452" w:rsidP="006D6BE3">
            <w:pPr>
              <w:pStyle w:val="ListParagraph"/>
              <w:ind w:left="0"/>
              <w:rPr>
                <w:i/>
                <w:sz w:val="20"/>
                <w:szCs w:val="20"/>
              </w:rPr>
            </w:pPr>
            <w:r w:rsidRPr="006D6BE3">
              <w:rPr>
                <w:i/>
                <w:sz w:val="20"/>
                <w:szCs w:val="20"/>
              </w:rPr>
              <w:t>-John McCrae wrote the famous poem “In Flanders Fields” in 1915. The poppy has become a symbol of remembrance in Canada.</w:t>
            </w:r>
          </w:p>
          <w:p w:rsidR="006D6BE3" w:rsidRDefault="00E62452" w:rsidP="006D6BE3">
            <w:pPr>
              <w:pStyle w:val="ListParagraph"/>
              <w:ind w:left="0"/>
              <w:rPr>
                <w:i/>
                <w:sz w:val="20"/>
                <w:szCs w:val="20"/>
              </w:rPr>
            </w:pPr>
            <w:r w:rsidRPr="006D6BE3">
              <w:rPr>
                <w:i/>
                <w:sz w:val="20"/>
                <w:szCs w:val="20"/>
              </w:rPr>
              <w:t xml:space="preserve"> -The National War Memorial in Ottawa was built in 1939 to commemorate Canada’s sacrifice during the First World War. </w:t>
            </w:r>
          </w:p>
          <w:p w:rsidR="00E62452" w:rsidRPr="006D6BE3" w:rsidRDefault="00E62452" w:rsidP="006D6BE3">
            <w:pPr>
              <w:pStyle w:val="ListParagraph"/>
              <w:ind w:left="0"/>
              <w:rPr>
                <w:i/>
                <w:sz w:val="20"/>
                <w:szCs w:val="20"/>
              </w:rPr>
            </w:pPr>
            <w:r w:rsidRPr="006D6BE3">
              <w:rPr>
                <w:i/>
                <w:sz w:val="20"/>
                <w:szCs w:val="20"/>
              </w:rPr>
              <w:t>-An official arts program commissioned artists to travel with the Canadian forces to sketch and paint the war.</w:t>
            </w:r>
          </w:p>
        </w:tc>
      </w:tr>
      <w:tr w:rsidR="00E62452" w:rsidTr="006D6BE3">
        <w:tc>
          <w:tcPr>
            <w:tcW w:w="2269" w:type="dxa"/>
          </w:tcPr>
          <w:p w:rsidR="006D6BE3" w:rsidRPr="006D6BE3" w:rsidRDefault="006D6BE3" w:rsidP="00E62452">
            <w:pPr>
              <w:pStyle w:val="ListParagraph"/>
              <w:ind w:left="0"/>
              <w:rPr>
                <w:b/>
                <w:sz w:val="24"/>
              </w:rPr>
            </w:pPr>
            <w:r w:rsidRPr="006D6BE3">
              <w:rPr>
                <w:b/>
                <w:sz w:val="24"/>
              </w:rPr>
              <w:t>Canadian Involvement</w:t>
            </w:r>
          </w:p>
          <w:p w:rsidR="006D6BE3" w:rsidRPr="006D6BE3" w:rsidRDefault="006D6BE3" w:rsidP="00E62452">
            <w:pPr>
              <w:pStyle w:val="ListParagraph"/>
              <w:ind w:left="0"/>
              <w:rPr>
                <w:b/>
                <w:sz w:val="24"/>
              </w:rPr>
            </w:pPr>
          </w:p>
        </w:tc>
        <w:tc>
          <w:tcPr>
            <w:tcW w:w="2693" w:type="dxa"/>
          </w:tcPr>
          <w:p w:rsidR="00E62452" w:rsidRPr="006D6BE3" w:rsidRDefault="00E62452"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r>
      <w:tr w:rsidR="00E62452" w:rsidTr="006D6BE3">
        <w:tc>
          <w:tcPr>
            <w:tcW w:w="2269" w:type="dxa"/>
          </w:tcPr>
          <w:p w:rsidR="00E62452" w:rsidRPr="006D6BE3" w:rsidRDefault="006D6BE3" w:rsidP="00E62452">
            <w:pPr>
              <w:pStyle w:val="ListParagraph"/>
              <w:ind w:left="0"/>
              <w:rPr>
                <w:b/>
                <w:sz w:val="24"/>
              </w:rPr>
            </w:pPr>
            <w:r w:rsidRPr="006D6BE3">
              <w:rPr>
                <w:b/>
                <w:sz w:val="24"/>
              </w:rPr>
              <w:t>The Economy</w:t>
            </w:r>
          </w:p>
        </w:tc>
        <w:tc>
          <w:tcPr>
            <w:tcW w:w="2693" w:type="dxa"/>
          </w:tcPr>
          <w:p w:rsidR="00E62452" w:rsidRPr="006D6BE3" w:rsidRDefault="00E62452"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r>
      <w:tr w:rsidR="00E62452" w:rsidTr="006D6BE3">
        <w:tc>
          <w:tcPr>
            <w:tcW w:w="2269" w:type="dxa"/>
          </w:tcPr>
          <w:p w:rsidR="00E62452" w:rsidRPr="006D6BE3" w:rsidRDefault="006D6BE3" w:rsidP="00E62452">
            <w:pPr>
              <w:pStyle w:val="ListParagraph"/>
              <w:ind w:left="0"/>
              <w:rPr>
                <w:b/>
                <w:sz w:val="24"/>
              </w:rPr>
            </w:pPr>
            <w:r w:rsidRPr="006D6BE3">
              <w:rPr>
                <w:b/>
                <w:sz w:val="24"/>
              </w:rPr>
              <w:t>Trench Warfare</w:t>
            </w:r>
          </w:p>
        </w:tc>
        <w:tc>
          <w:tcPr>
            <w:tcW w:w="2693" w:type="dxa"/>
          </w:tcPr>
          <w:p w:rsidR="00E62452" w:rsidRPr="006D6BE3" w:rsidRDefault="00E62452"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r>
      <w:tr w:rsidR="00E62452" w:rsidTr="006D6BE3">
        <w:tc>
          <w:tcPr>
            <w:tcW w:w="2269" w:type="dxa"/>
          </w:tcPr>
          <w:p w:rsidR="00E62452" w:rsidRPr="006D6BE3" w:rsidRDefault="006D6BE3" w:rsidP="00E62452">
            <w:pPr>
              <w:pStyle w:val="ListParagraph"/>
              <w:ind w:left="0"/>
              <w:rPr>
                <w:b/>
                <w:sz w:val="24"/>
              </w:rPr>
            </w:pPr>
            <w:r w:rsidRPr="006D6BE3">
              <w:rPr>
                <w:b/>
                <w:sz w:val="24"/>
              </w:rPr>
              <w:t>Conscription</w:t>
            </w:r>
          </w:p>
        </w:tc>
        <w:tc>
          <w:tcPr>
            <w:tcW w:w="2693" w:type="dxa"/>
          </w:tcPr>
          <w:p w:rsidR="00E62452" w:rsidRPr="006D6BE3" w:rsidRDefault="00E62452"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r>
      <w:tr w:rsidR="00E62452" w:rsidTr="006D6BE3">
        <w:tc>
          <w:tcPr>
            <w:tcW w:w="2269" w:type="dxa"/>
          </w:tcPr>
          <w:p w:rsidR="00E62452" w:rsidRPr="006D6BE3" w:rsidRDefault="006D6BE3" w:rsidP="00E62452">
            <w:pPr>
              <w:pStyle w:val="ListParagraph"/>
              <w:ind w:left="0"/>
              <w:rPr>
                <w:b/>
                <w:sz w:val="24"/>
              </w:rPr>
            </w:pPr>
            <w:r w:rsidRPr="006D6BE3">
              <w:rPr>
                <w:b/>
                <w:sz w:val="24"/>
              </w:rPr>
              <w:t>Voting Rights</w:t>
            </w:r>
          </w:p>
        </w:tc>
        <w:tc>
          <w:tcPr>
            <w:tcW w:w="2693" w:type="dxa"/>
          </w:tcPr>
          <w:p w:rsidR="00E62452" w:rsidRPr="006D6BE3" w:rsidRDefault="00E62452"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r>
      <w:tr w:rsidR="00E62452" w:rsidTr="006D6BE3">
        <w:tc>
          <w:tcPr>
            <w:tcW w:w="2269" w:type="dxa"/>
          </w:tcPr>
          <w:p w:rsidR="00E62452" w:rsidRPr="006D6BE3" w:rsidRDefault="006D6BE3" w:rsidP="00E62452">
            <w:pPr>
              <w:pStyle w:val="ListParagraph"/>
              <w:ind w:left="0"/>
              <w:rPr>
                <w:b/>
                <w:sz w:val="24"/>
              </w:rPr>
            </w:pPr>
            <w:r w:rsidRPr="006D6BE3">
              <w:rPr>
                <w:b/>
                <w:sz w:val="24"/>
              </w:rPr>
              <w:t>Internment</w:t>
            </w:r>
          </w:p>
        </w:tc>
        <w:tc>
          <w:tcPr>
            <w:tcW w:w="2693" w:type="dxa"/>
          </w:tcPr>
          <w:p w:rsidR="00E62452" w:rsidRPr="006D6BE3" w:rsidRDefault="00E62452"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p w:rsidR="006D6BE3" w:rsidRPr="006D6BE3" w:rsidRDefault="006D6BE3"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c>
          <w:tcPr>
            <w:tcW w:w="2693" w:type="dxa"/>
          </w:tcPr>
          <w:p w:rsidR="00E62452" w:rsidRPr="006D6BE3" w:rsidRDefault="00E62452" w:rsidP="00E62452">
            <w:pPr>
              <w:pStyle w:val="ListParagraph"/>
              <w:ind w:left="0"/>
              <w:rPr>
                <w:sz w:val="20"/>
                <w:szCs w:val="20"/>
              </w:rPr>
            </w:pPr>
          </w:p>
        </w:tc>
      </w:tr>
    </w:tbl>
    <w:p w:rsidR="001E53D9" w:rsidRPr="00E62452" w:rsidRDefault="001E53D9" w:rsidP="00E62452">
      <w:pPr>
        <w:pStyle w:val="ListParagraph"/>
        <w:rPr>
          <w:sz w:val="24"/>
        </w:rPr>
      </w:pPr>
    </w:p>
    <w:sectPr w:rsidR="001E53D9" w:rsidRPr="00E62452">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2E" w:rsidRDefault="00AA122E" w:rsidP="00025AE3">
      <w:pPr>
        <w:spacing w:after="0" w:line="240" w:lineRule="auto"/>
      </w:pPr>
      <w:r>
        <w:separator/>
      </w:r>
    </w:p>
  </w:endnote>
  <w:endnote w:type="continuationSeparator" w:id="0">
    <w:p w:rsidR="00AA122E" w:rsidRDefault="00AA122E" w:rsidP="0002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2E" w:rsidRDefault="00AA122E" w:rsidP="00025AE3">
      <w:pPr>
        <w:spacing w:after="0" w:line="240" w:lineRule="auto"/>
      </w:pPr>
      <w:r>
        <w:separator/>
      </w:r>
    </w:p>
  </w:footnote>
  <w:footnote w:type="continuationSeparator" w:id="0">
    <w:p w:rsidR="00AA122E" w:rsidRDefault="00AA122E" w:rsidP="0002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E3" w:rsidRPr="00025AE3" w:rsidRDefault="00025AE3">
    <w:pPr>
      <w:pStyle w:val="Header"/>
      <w:rPr>
        <w:rFonts w:ascii="Lucida Handwriting" w:hAnsi="Lucida Handwriting"/>
      </w:rPr>
    </w:pPr>
    <w:r w:rsidRPr="00025AE3">
      <w:rPr>
        <w:rFonts w:ascii="Lucida Handwriting" w:hAnsi="Lucida Handwriting"/>
      </w:rPr>
      <w:t>Canada Past &amp; Present: A Citizenship Education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37A"/>
    <w:multiLevelType w:val="hybridMultilevel"/>
    <w:tmpl w:val="45C64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C05A76"/>
    <w:multiLevelType w:val="hybridMultilevel"/>
    <w:tmpl w:val="B6BE23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6138F0"/>
    <w:multiLevelType w:val="hybridMultilevel"/>
    <w:tmpl w:val="DEC6E1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EB11FD"/>
    <w:multiLevelType w:val="hybridMultilevel"/>
    <w:tmpl w:val="8B444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963EDC"/>
    <w:multiLevelType w:val="hybridMultilevel"/>
    <w:tmpl w:val="E9DE9F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604888"/>
    <w:multiLevelType w:val="hybridMultilevel"/>
    <w:tmpl w:val="5D0E3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D9"/>
    <w:rsid w:val="00025AE3"/>
    <w:rsid w:val="00042743"/>
    <w:rsid w:val="001E53D9"/>
    <w:rsid w:val="002620CD"/>
    <w:rsid w:val="003050ED"/>
    <w:rsid w:val="00454702"/>
    <w:rsid w:val="004647F5"/>
    <w:rsid w:val="0064768D"/>
    <w:rsid w:val="006D6BE3"/>
    <w:rsid w:val="00777F26"/>
    <w:rsid w:val="007A44E3"/>
    <w:rsid w:val="007B6B71"/>
    <w:rsid w:val="008040F1"/>
    <w:rsid w:val="00AA122E"/>
    <w:rsid w:val="00BE583B"/>
    <w:rsid w:val="00C71B57"/>
    <w:rsid w:val="00DD75BA"/>
    <w:rsid w:val="00E62452"/>
    <w:rsid w:val="00F13854"/>
    <w:rsid w:val="00F31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C2585-FC41-409C-A074-A90052F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3D9"/>
    <w:rPr>
      <w:color w:val="0000FF"/>
      <w:u w:val="single"/>
    </w:rPr>
  </w:style>
  <w:style w:type="paragraph" w:styleId="Header">
    <w:name w:val="header"/>
    <w:basedOn w:val="Normal"/>
    <w:link w:val="HeaderChar"/>
    <w:uiPriority w:val="99"/>
    <w:unhideWhenUsed/>
    <w:rsid w:val="0002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E3"/>
  </w:style>
  <w:style w:type="paragraph" w:styleId="Footer">
    <w:name w:val="footer"/>
    <w:basedOn w:val="Normal"/>
    <w:link w:val="FooterChar"/>
    <w:uiPriority w:val="99"/>
    <w:unhideWhenUsed/>
    <w:rsid w:val="0002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E3"/>
  </w:style>
  <w:style w:type="paragraph" w:styleId="ListParagraph">
    <w:name w:val="List Paragraph"/>
    <w:basedOn w:val="Normal"/>
    <w:uiPriority w:val="34"/>
    <w:qFormat/>
    <w:rsid w:val="00025AE3"/>
    <w:pPr>
      <w:ind w:left="720"/>
      <w:contextualSpacing/>
    </w:pPr>
  </w:style>
  <w:style w:type="table" w:styleId="TableGrid">
    <w:name w:val="Table Grid"/>
    <w:basedOn w:val="TableNormal"/>
    <w:uiPriority w:val="39"/>
    <w:rsid w:val="0026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77F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7F2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ecanadianencyclopedia.ca/en/article/suffr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canadianencyclopedia.ca/en/article/first-world-war-ww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anadianencyclopedia.ca/en/article/battle-of-passchendael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thecanadianencyclopedia.ca/en/article/first-world-war-wwi" TargetMode="External"/><Relationship Id="rId4" Type="http://schemas.openxmlformats.org/officeDocument/2006/relationships/webSettings" Target="webSettings.xml"/><Relationship Id="rId9" Type="http://schemas.openxmlformats.org/officeDocument/2006/relationships/hyperlink" Target="https://www.thecanadianencyclopedia.ca/en/article/first-world-war-wwi" TargetMode="External"/><Relationship Id="rId14" Type="http://schemas.openxmlformats.org/officeDocument/2006/relationships/hyperlink" Target="https://www.thecanadianencyclopedia.ca/en/article/int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3</cp:revision>
  <dcterms:created xsi:type="dcterms:W3CDTF">2020-05-11T00:42:00Z</dcterms:created>
  <dcterms:modified xsi:type="dcterms:W3CDTF">2020-05-11T11:29:00Z</dcterms:modified>
</cp:coreProperties>
</file>